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AKNV — Ausstellung des Ankunftsnachweises</w:t>
      </w:r>
    </w:p>
    <w:p>
      <w:r>
        <w:rPr>
          <w:color w:val="555555"/>
          <w:sz w:val="18"/>
        </w:rPr>
        <w:t xml:space="preserve">Ankunftsnachweisverordnung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ausstellende Behörde prüft, ob die für den Ankunftsnachweis nach Anlage 4 erforderlichen Daten vollständig und zutreffend erhoben wurden und überträgt diese unter Beachtung der formalen Anforderungen der Anlage 2 Abschnitt 1 auf den Ankunftsnachweis. Die ausstellenden Behörden haben technische und organisatorische Maßnahmen zu treffen, die gewährleisten, dass keine falschen oder anderweitig fehlerhaften Daten weiterverarbeitet werden.</w:t>
      </w:r>
    </w:p>
    <w:p>
      <w:r>
        <w:t xml:space="preserve">(2) Auf Seite 4 des Ankunftsnachweises ist anzugeben, ob die Angaben zur Person auf eigenen Angaben des Asylsuchenden beruhen.</w:t>
      </w:r>
    </w:p>
    <w:p>
      <w:r>
        <w:rPr>
          <w:color w:val="555555"/>
          <w:sz w:val="17"/>
        </w:rPr>
        <w:t xml:space="preserve">Zitiervorschlag: § 4 AKNV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