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AKNV — Nationale Sicherheits- und Qualitätsstatistik</w:t>
      </w:r>
    </w:p>
    <w:p>
      <w:r>
        <w:rPr>
          <w:color w:val="555555"/>
          <w:sz w:val="18"/>
        </w:rPr>
        <w:t xml:space="preserve">Ankunftsnachweisverordnung</w:t>
      </w:r>
    </w:p>
    <w:p>
      <w:r>
        <w:rPr>
          <w:color w:val="555555"/>
          <w:sz w:val="18"/>
        </w:rPr>
        <w:t xml:space="preserve">Stand: 01.11.2024 (konsolidierte Textfassung, kein amtliches Inkrafttretensdatum)</w:t>
      </w:r>
    </w:p>
    <w:p>
      <w:r>
        <w:t xml:space="preserve">(1) Das Bundesamt für Sicherheit in der Informationstechnik führt eine nationale Sicherheits- und Qualitätsstatistik zu den nach § 16 des Asylgesetzes erhobenen biometrischen Daten und durchgeführten maschinellen Dokumentenprüfungen nach dem Stand der Technik. Das Bundesverwaltungsamt ermöglicht dem Bundesamt für Sicherheit in der Informationstechnik den Zugang zu anonymisierten Einzeldaten zum Zwecke der Sicherheits- und Qualitätsstatistik. Das Bundesamt für Sicherheit in der Informationstechnik stellt die in Satz 1 genannten Statistiken dem Bundesministerium des Innern und für Heimat, dem Bundesverwaltungsamt, der Bundespolizei, dem Bundeskriminalamt und dem Bundesamt für Migration und Flüchtlinge sowie den Ländern ganz oder teilweise zur Verfügung, soweit sie zur Aufgabenerfüllung benötigt werden.</w:t>
      </w:r>
    </w:p>
    <w:p>
      <w:r>
        <w:t xml:space="preserve">(2) Für die Statistiken des Bundesamtes für Sicherheit in der Informationstechnik gelten die Grundsätze der Neutralität und Objektivität. Die Vorschriften der Geheimhaltung nach § 16 des Bundesstatistikgesetzes gelten entsprechend. Das Statistikgeheimnis ist durch technische und organisatorische Maßnahmen der Trennung zwischen statistischen und nichtstatistischen Aufgaben einzuhalten.</w:t>
      </w:r>
    </w:p>
    <w:p>
      <w:r>
        <w:rPr>
          <w:color w:val="555555"/>
          <w:sz w:val="17"/>
        </w:rPr>
        <w:t xml:space="preserve">Zitiervorschlag: § 2 AKNV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