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98 AKG — Ablösungsschuld der Deutschen Bundesbahn</w:t>
      </w:r>
    </w:p>
    <w:p>
      <w:r>
        <w:rPr>
          <w:color w:val="555555"/>
          <w:sz w:val="18"/>
        </w:rPr>
        <w:t xml:space="preserve">Allgemeines Kriegsfolgengesetz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für die Verwaltung der allgemeinen Bundesschuld jeweils geltenden Vorschriften gelten sinngemäß für die Ablösungsschuld der Deutschen Bundesbahn.</w:t>
      </w:r>
    </w:p>
    <w:p>
      <w:r>
        <w:rPr>
          <w:color w:val="555555"/>
          <w:sz w:val="17"/>
        </w:rPr>
        <w:t xml:space="preserve">Zitiervorschlag: § 98 AKG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https://recht.nulegal.eu/gesetze/AKG/98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