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AKG — Verwaltung der nach dem Anleihestockgesetz und der Dividendenabgabeverordnung gebildeten Sondervermögen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treuhänderische Verwaltung eines von einer Kapitalgesellschaft nach dem Gesetz über die Gewinnverteilung bei Kapitalgesellschaften (Anleihestockgesetz) vom 4. Dezember 1934 (Reichsgesetzbl. I S. 1222) gebildeten Anleihestocks geht mit dem Inkrafttreten dieses Gesetzes von der Deutschen Golddiskontbank auf die Kapitalgesellschaft über.</w:t>
      </w:r>
    </w:p>
    <w:p>
      <w:r>
        <w:t xml:space="preserve">(2) Die Kapitalgesellschaft hat den Anleihestock und ein nach der Verordnung zur Begrenzung von Gewinnausschüttungen (Dividendenabgabeverordnung) vom 12. Juni 1941 (Reichsgesetzbl. I S. 323) gebildetes Treuhandvermögen getrennt von ihrem eigenen Vermögen treuhänderisch für die Gesellschafter zu verwalten. Der Anleihestock und das Treuhandvermögen unterliegen nicht der Zwangsvollstreckung. Die Aufhebung der in Ansehung des Anleihestocks und des Treuhandvermögens bestehenden Gemeinschaft der Gesellschafter ist ausgeschlossen.</w:t>
      </w:r>
    </w:p>
    <w:p>
      <w:r>
        <w:t xml:space="preserve">(3) Die Kapitalgesellschaft hat die sich aus dem Anleihestock und dem Treuhandvermögen ergebenden abzulösenden Ansprüche anzumelden (§ 40). Die Voraussetzungen des § 49 Abs. 1 dieses Gesetzes in Verbindung mit § 21 des Wertpapierbereinigungsgesetzes gelten als erfüllt, wenn die Kapitalgesellschaft beweist oder glaubhaft macht, daß sie Beträge in Höhe des abzulösenden Anspruchs an den Anleihestock abgeführt hat oder daß sie den abzulösenden Anspruch nach der Dividendenabgabeverordnung treuhänderisch verwaltet hat.</w:t>
      </w:r>
    </w:p>
    <w:p>
      <w:r>
        <w:t xml:space="preserve">(4) Die Absätze 1 bis 3 gelten nur für Kapitalgesellschaften, die die Voraussetzungen des § 33 Abs. 2 Nr. 3 erfüllen.</w:t>
      </w:r>
    </w:p>
    <w:p>
      <w:r>
        <w:rPr>
          <w:color w:val="555555"/>
          <w:sz w:val="17"/>
        </w:rPr>
        <w:t xml:space="preserve">Zitiervorschlag: § 92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