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AKG — Besonderheiten des Verfahrens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Antrag (§ 87 Abs. 1 Satz 2) ist eine Ausfertigung der nach § 16 Absatz 3 des Schuldverschreibungsgesetzes aufgenommenen Niederschriften beizufügen.</w:t>
      </w:r>
    </w:p>
    <w:p>
      <w:r>
        <w:t xml:space="preserve">(2) Die Entscheidung über den Antrag kann nur für alle Gläubiger einheitlich ergehen. Sie wirkt für und gegen alle Gläubiger. § 19 Abs. 5 Satz 2 des Vertragshilfegesetzes ist nicht anwendbar.</w:t>
      </w:r>
    </w:p>
    <w:p>
      <w:r>
        <w:rPr>
          <w:color w:val="555555"/>
          <w:sz w:val="17"/>
        </w:rPr>
        <w:t xml:space="preserve">Zitiervorschlag: § 90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