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AKG — Stundung und Herabsetzung</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Verbindlichkeiten aus Inhaber- oder Orderschuldverschreibungen, die vor dem 21. Juni 1948 als Teile einer Gesamtemission begeben worden sind und die nicht unter § 6 Abs. 1 Nr. 2 des Vertragshilfegesetzes vom 26. März 1952 (Bundesgesetzbl. I S. 198) in der Fassung des § 106 des Gesetzes vom 24. August 1953 (Bundesgesetzbl. I S. 1003) fallen, können auf Antrag des Schuldners durch gerichtliche Entscheidung gestundet oder herabgesetzt werden, wenn und soweit ihm wegen der Vermögensverluste, die er auf Grund von Kriegsereignissen oder Kriegsfolgen erlitten hat, die fristgemäße oder volle Leistung bei gerechter Abwägung seiner Interessen und der Interessen der Gesamtheit der Gläubiger nicht zugemutet werden kann. Der Antrag ist gegen die Gesamtheit der Gläubiger zu richten.</w:t>
      </w:r>
    </w:p>
    <w:p>
      <w:r>
        <w:t xml:space="preserve">(2) Die Vorschriften des Vertragshilfegesetzes sind entsprechend anzuwenden, soweit sich aus diesem Gesetz nichts anderes ergibt.</w:t>
      </w:r>
    </w:p>
    <w:p>
      <w:r>
        <w:rPr>
          <w:color w:val="555555"/>
          <w:sz w:val="17"/>
        </w:rPr>
        <w:t xml:space="preserve">Zitiervorschlag: § 87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