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AKG — Versorgungs- und Schadensersatzansprüche</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Zu erfüllen sind</w:t>
      </w:r>
    </w:p>
    <w:p>
      <w:pPr>
        <w:ind w:left="420"/>
      </w:pPr>
      <w:r>
        <w:t xml:space="preserve">1. Ansprüche (§ 1) auf Zahlung von Renten, die der Versorgung der Berechtigten dienen oder auf einer Verletzung des Lebens, des Körpers, der Gesundheit oder der Freiheit beruhen, sowie Ansprüche aus der Kapitalisierung derartigen Renten, soweit Leistungen aus diesen Ansprüchen für die Zeit nach dem 31. März 1950 geschuldet werden. Bei Rentenansprüchen, die auf Grund oder in sinngemäßer Anwendung des Gesetzes über den Ausgleich bürgerlich-rechtlicher Ansprüche vom 13. Dezember 1934 (Reichsgesetzbl. I S. 1235) zuerkannt worden sind, gilt dies mit der Maßgabe, daß sie in der Höhe zu erfüllen sind, in der sie nach den Vorschriften des bürgerlichen Rechts begründet wären;</w:t>
      </w:r>
    </w:p>
    <w:p>
      <w:pPr>
        <w:ind w:left="420"/>
      </w:pPr>
      <w:r>
        <w:t xml:space="preserve">2. Ansprüche (§ 1), die auf einer Verletzung des Lebens, des Körpers, der Gesundheit oder der Freiheit beruhen und nicht auf Zahlung von Renten gerichtet sind, jedoch nicht über den Betrag der Leistungen hinaus, die das Bundesentschädigungsgesetz für Schäden dieser Art vorsieht.</w:t>
      </w:r>
    </w:p>
    <w:p>
      <w:r>
        <w:t xml:space="preserve">(2) Absatz 1 ist nicht anzuwenden bei</w:t>
      </w:r>
    </w:p>
    <w:p>
      <w:pPr>
        <w:ind w:left="420"/>
      </w:pPr>
      <w:r>
        <w:t xml:space="preserve">1. Ansprüchen auf Zahlung von Vorzugsrenten auf Grund des Gesetzes über die Ablösung öffentlicher Anleihen vom 16. Juli 1925 (Reichsgesetzbl. I S. 137);</w:t>
      </w:r>
    </w:p>
    <w:p>
      <w:pPr>
        <w:ind w:left="420"/>
      </w:pPr>
      <w:r>
        <w:t xml:space="preserve">2. Ansprüchen auf Zahlung von Liquidationsrenten zum Ausgleich von im ersten Weltkrieg erlittenen Liquidations- und Gewaltschäden;</w:t>
      </w:r>
    </w:p>
    <w:p>
      <w:pPr>
        <w:ind w:left="420"/>
      </w:pPr>
      <w:r>
        <w:t xml:space="preserve">3. Ansprüchen, die unmittelbar oder mittelbar auf nationalsozialistischen Gewaltmaßnahmen im Sinne des § 2 des Bundesentschädigungsgesetzes beruhen;</w:t>
      </w:r>
    </w:p>
    <w:p>
      <w:pPr>
        <w:ind w:left="420"/>
      </w:pPr>
      <w:r>
        <w:t xml:space="preserve">4. Ansprüchen, die auf Rechtsverhältnissen der in Artikel 131 des Grundgesetzes bezeichneten Art beruhen.</w:t>
      </w:r>
    </w:p>
    <w:p>
      <w:r>
        <w:t xml:space="preserve">Insoweit verbleibt es bei den bundesgesetzlichen Regelungen.</w:t>
      </w:r>
    </w:p>
    <w:p>
      <w:r>
        <w:t xml:space="preserve">(3) § 8 des Zweiten Gesetzes zur Überleitung von Lasten und Deckungsmitteln auf den Bund (Zweites Überleitungsgesetz) vom 21. August 1951 (Bundesgesetzbl. I S. 774) wird aufgehoben. Aus § 7 des vorbezeichneten Gesetzes können Ansprüche der Geschädigten gegen den Bund nicht hergeleitet werden. Auf Grund des Zweiten Überleitungsgesetzes durch Rechtsgeschäfte oder gerichtliche Entscheidungen bereits zuerkannte Ansprüche werden durch die Vorschriften dieses Gesetze nicht berührt.</w:t>
      </w:r>
    </w:p>
    <w:p>
      <w:r>
        <w:rPr>
          <w:color w:val="555555"/>
          <w:sz w:val="17"/>
        </w:rPr>
        <w:t xml:space="preserve">Zitiervorschlag: § 5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