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18 AKG — Umstellung von Reichsmarkansprüchen</w:t>
      </w:r>
    </w:p>
    <w:p>
      <w:r>
        <w:rPr>
          <w:color w:val="555555"/>
          <w:sz w:val="18"/>
        </w:rPr>
        <w:t xml:space="preserve">Allgemeines Kriegsfolgengesetz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§ 14 des Umstellungsgesetzes tritt hinsichtlich der in §§ 4 bis 15 und 19 bezeichneten, bisher nicht umgestellten Ansprüche außer Kraft.</w:t>
      </w:r>
    </w:p>
    <w:p>
      <w:r>
        <w:rPr>
          <w:color w:val="555555"/>
          <w:sz w:val="17"/>
        </w:rPr>
        <w:t xml:space="preserve">Zitiervorschlag: § 18 AKG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https://recht.nulegal.eu/gesetze/AKG/18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