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AKG — Ansprüche aus Verwahrungen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erfüllen sind</w:t>
      </w:r>
    </w:p>
    <w:p>
      <w:pPr>
        <w:ind w:left="420"/>
      </w:pPr>
      <w:r>
        <w:t xml:space="preserve">1. Ansprüche (§ 1) auf Herausgabe von Vermögensgegenständen, die von den in § 1 Abs. 1 genannten Rechtsträgern für einen anderen verwahrt oder verwaltet worden sind, soweit die Vermögensgegenstände bei den Anspruchsschuldnern (§ 25) noch vorhanden sind;</w:t>
      </w:r>
    </w:p>
    <w:p>
      <w:pPr>
        <w:ind w:left="420"/>
      </w:pPr>
      <w:r>
        <w:t xml:space="preserve">2. Ansprüche (§ 1) auf Schadensersatz, die auf einer Verletzung der in Nummer 1 bezeichneten Rechtsverhältnisse beruhen, soweit die zum Schadensersatz verpflichtende Handlung oder Unterlassung nach dem 31. Juli 1945 im Geltungsbereich dieses Gesetzes begangen worden ist.</w:t>
      </w:r>
    </w:p>
    <w:p>
      <w:r>
        <w:rPr>
          <w:color w:val="555555"/>
          <w:sz w:val="17"/>
        </w:rPr>
        <w:t xml:space="preserve">Zitiervorschlag: § 12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