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AKG — Sondervorschriften wegen des Saarlandes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wegen der besonderen Verhältnisse im Saarland mit folgender Maßgabe:</w:t>
      </w:r>
    </w:p>
    <w:p>
      <w:pPr>
        <w:ind w:left="420"/>
      </w:pPr>
      <w:r>
        <w:t xml:space="preserve">1. ...</w:t>
      </w:r>
    </w:p>
    <w:p>
      <w:pPr>
        <w:ind w:left="420"/>
      </w:pPr>
      <w:r>
        <w:t xml:space="preserve">2. ...</w:t>
      </w:r>
    </w:p>
    <w:p>
      <w:pPr>
        <w:ind w:left="420"/>
      </w:pPr>
      <w:r>
        <w:t xml:space="preserve">3. In Ergänzung des § 32 Abs. 1 Nr. 3 werden nicht abgelöst Ansprüche der in § 30 bezeichneten Art, die am 15. November 1947 Geldinstituten und Versicherungs- und Rückversicherungsunternehmen und Bausparkassen zugestanden haben, die ihren Sitz oder den Ort ihrer Geschäftsleitung zu diesem Zeitpunkt im Saarland hatten.</w:t>
      </w:r>
    </w:p>
    <w:p>
      <w:pPr>
        <w:ind w:left="420"/>
      </w:pPr>
      <w:r>
        <w:t xml:space="preserve">4. Kammer für Wertpapierbereinigung im Sinne dieses Gesetzes ist im Saarland die Kammer für Handelssachen beim Landgericht Saarbrücken.</w:t>
      </w:r>
    </w:p>
    <w:p>
      <w:pPr>
        <w:ind w:left="420"/>
      </w:pPr>
      <w:r>
        <w:t xml:space="preserve">5. §§ 87 bis 91 finden im Saarland keine Anwendung.</w:t>
      </w:r>
    </w:p>
    <w:p>
      <w:r>
        <w:t xml:space="preserve">6.</w:t>
      </w:r>
    </w:p>
    <w:p>
      <w:r>
        <w:t xml:space="preserve">(2) Soweit die Anwendung des Gesetzes durch Absatz 1 ausgeschlossen wird, bleibt eine besondere gesetzliche Regelung vorbehalten, wenn dies die Sach- und Rechtslage im Saarland erfordert.</w:t>
      </w:r>
    </w:p>
    <w:p>
      <w:r>
        <w:rPr>
          <w:color w:val="555555"/>
          <w:sz w:val="17"/>
        </w:rPr>
        <w:t xml:space="preserve">Zitiervorschlag: § 110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