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 AKG — Freistellung von Verwaltungsgebühren</w:t>
      </w:r>
    </w:p>
    <w:p>
      <w:r>
        <w:rPr>
          <w:color w:val="555555"/>
          <w:sz w:val="18"/>
        </w:rPr>
        <w:t xml:space="preserve">Allgemeines Kriegsfolgengesetz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Polizeiliche Aufenthalts- und Wohnsitzbescheinigungen für Zwecke dieses Gesetzes sind gebührenfrei auszustellen.</w:t>
      </w:r>
    </w:p>
    <w:p>
      <w:r>
        <w:rPr>
          <w:color w:val="555555"/>
          <w:sz w:val="17"/>
        </w:rPr>
        <w:t xml:space="preserve">Zitiervorschlag: § 107 AKG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https://recht.nulegal.eu/gesetze/AKG/107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