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AKDB (Bayern)</w:t>
      </w:r>
    </w:p>
    <w:p>
      <w:r>
        <w:rPr>
          <w:color w:val="555555"/>
          <w:sz w:val="18"/>
        </w:rPr>
        <w:t xml:space="preserve">Verordnung über die Anstalt für Kommunale Datenverarbeitung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14 Satz 2 des Gesetzes über die Organisation der elektronischen Datenverarbeitung im Freistaat Bayern erläßt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AKDB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https://recht.nulegal.eu/gesetze/AKDB/eingangsformel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