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AKDB (Bayern)</w:t>
      </w:r>
    </w:p>
    <w:p>
      <w:r>
        <w:rPr>
          <w:color w:val="555555"/>
          <w:sz w:val="18"/>
        </w:rPr>
        <w:t xml:space="preserve">Verordnung über die Anstalt für Kommunale Datenverarbeitung in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Aufgabe der AKDB ist es, für die rationelle Erledigung automationsfähiger Arbeiten, die ihr von den kommunalen Gebietskörperschaften, dem Staat oder Dritten übertragen werden, zu sorgen; dabei soll die AKDB die Entwicklung der elektronischen Datenverarbeitung im kommunalen Bereich aufeinander abstimmen und die Zusammenarbeit und den Datenaustausch sicherstellen.</w:t>
      </w:r>
    </w:p>
    <w:p>
      <w:r>
        <w:t xml:space="preserve">(2) Die AKDB kann kommunale Datenverarbeitungszentralen betreiben.</w:t>
      </w:r>
    </w:p>
    <w:p>
      <w:r>
        <w:rPr>
          <w:color w:val="555555"/>
          <w:sz w:val="17"/>
        </w:rPr>
        <w:t xml:space="preserve">Zitiervorschlag: § 2 AKDB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https://recht.nulegal.eu/gesetze/AKDB/2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