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AISAnlNutzV</w:t>
      </w:r>
    </w:p>
    <w:p>
      <w:r>
        <w:rPr>
          <w:color w:val="555555"/>
          <w:sz w:val="18"/>
        </w:rPr>
        <w:t xml:space="preserve">Verordnung zur Regelung der Nutzung von AIS-Anlagen auf nicht ausrüstungspflichtigen Fahrzeugen</w:t>
      </w:r>
    </w:p>
    <w:p>
      <w:r>
        <w:rPr>
          <w:color w:val="555555"/>
          <w:sz w:val="18"/>
        </w:rPr>
        <w:t xml:space="preserve">Historische Fassung: Stand 10.06.2019 bis 15.02.2022. Dies ist nicht die aktuelle Fassung.</w:t>
      </w:r>
    </w:p>
    <w:p>
      <w:r>
        <w:t xml:space="preserve">Hiervon ausgenommen sind Sportboote im Sinne des § 2 Nummer 3 der Sportbootführerscheinverordnung vom 3. Mai 2017 (BGBl. I S. 1016, 4043).</w:t>
      </w:r>
    </w:p>
    <w:p>
      <w:r>
        <w:rPr>
          <w:color w:val="555555"/>
          <w:sz w:val="17"/>
        </w:rPr>
        <w:t xml:space="preserve">Zitiervorschlag: § 2 AISAnlNutzV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https://recht.nulegal.eu/gesetze/AISAnlNutzV/2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