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AISAnlNutzV</w:t>
      </w:r>
    </w:p>
    <w:p>
      <w:r>
        <w:rPr>
          <w:color w:val="555555"/>
          <w:sz w:val="18"/>
        </w:rPr>
        <w:t xml:space="preserve">Verordnung zur Regelung der Nutzung von AIS-Anlagen auf nicht ausrüstungspflichtigen Fahrzeugen</w:t>
      </w:r>
    </w:p>
    <w:p>
      <w:r>
        <w:rPr>
          <w:color w:val="555555"/>
          <w:sz w:val="18"/>
        </w:rPr>
        <w:t xml:space="preserve">Historische Fassung: Stand 10.06.2019 bis 15.02.2022. Dies ist nicht die aktuelle Fassung.</w:t>
      </w:r>
    </w:p>
    <w:p>
      <w:r>
        <w:t xml:space="preserve">Der Führer eines mit einer AIS-Anlage ausgerüsteten Fahrzeugs ist verpflichtet, beim Befahren von Wasserflächen der Emsmündung (§ 1 Absatz 1 Nummer 1 der Verordnung zur Einführung der Schifffahrtsordnung Emsmündung) diese zu betreiben und verfügbare AIS-Daten, insbesondere über die aktuelle Verkehrssituation und alle Schiffsbewegungen, zu verfolgen und unverzüglich entsprechend den Bedingungen der jeweiligen Verkehrssituation zu berücksichtigen.</w:t>
      </w:r>
    </w:p>
    <w:p>
      <w:r>
        <w:rPr>
          <w:color w:val="555555"/>
          <w:sz w:val="17"/>
        </w:rPr>
        <w:t xml:space="preserve">Zitiervorschlag: § 1 AISAnlNutzV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https://recht.nulegal.eu/gesetze/AISAnlNutzV/1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