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AISAnl§60Abs3SeeSchStrONutzV</w:t>
      </w:r>
    </w:p>
    <w:p>
      <w:r>
        <w:rPr>
          <w:color w:val="555555"/>
          <w:sz w:val="18"/>
        </w:rPr>
        <w:t xml:space="preserve">Verordnung zur Regelung der Nutzung von AIS-Anlagen auf nicht ausrüstungspflichtigen Fahrzeugen nach § 60 Absatz 3 der Seeschifffahrtsstraßen-Ordnung</w:t>
      </w:r>
    </w:p>
    <w:p>
      <w:r>
        <w:rPr>
          <w:color w:val="555555"/>
          <w:sz w:val="18"/>
        </w:rPr>
        <w:t xml:space="preserve">Historische Fassung: Stand 10.06.2019 bis 15.02.2022. Dies ist nicht die aktuelle Fassung.</w:t>
      </w:r>
    </w:p>
    <w:p>
      <w:r>
        <w:t xml:space="preserve">Auf Grund des § 9 Absatz 1 Satz 1 Nummer 2 und Absatz 6 des Seeaufgabengesetzes in der Fassung der Bekanntmachung vom 17. Juni 2016 (BGBl. I S. 1489) in Verbindung mit § 60 Absatz 3 der Seeschifffahrtsstraßen-Ordnung in der Fassung der Bekanntmachung vom 22. Oktober 1998 (BGBl. I S. 3209; 1999 I S. 193), der zuletzt durch Artikel 60 Nummer 10 der Verordnung vom 2. Juni 2016 (BGBl. I S. 1257) geändert worden ist, verordnet die Generaldirektion Wasserstraßen und Schifffahrt:</w:t>
      </w:r>
    </w:p>
    <w:p>
      <w:r>
        <w:rPr>
          <w:color w:val="555555"/>
          <w:sz w:val="17"/>
        </w:rPr>
        <w:t xml:space="preserve">Zitiervorschlag: Eingangsformel AISAnl§60Abs3SeeSchStrONutzV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https://recht.nulegal.eu/gesetze/AISAnl%C2%A760Abs3SeeSchStrONutzV/eingangsformel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