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AISAnl§60Abs3SeeSchStrONutzV</w:t>
      </w:r>
    </w:p>
    <w:p>
      <w:r>
        <w:rPr>
          <w:color w:val="555555"/>
          <w:sz w:val="18"/>
        </w:rPr>
        <w:t xml:space="preserve">Verordnung zur Regelung der Nutzung von AIS-Anlagen auf nicht ausrüstungspflichtigen Fahrzeugen nach § 60 Absatz 3 der Seeschifffahrtsstraßen-Ordnung</w:t>
      </w:r>
    </w:p>
    <w:p>
      <w:r>
        <w:rPr>
          <w:color w:val="555555"/>
          <w:sz w:val="18"/>
        </w:rPr>
        <w:t xml:space="preserve">Historische Fassung: Stand 10.06.2019 bis 15.02.2022. Dies ist nicht die aktuelle Fassung.</w:t>
      </w:r>
    </w:p>
    <w:p>
      <w:r>
        <w:t xml:space="preserve">Diese Verordnung tritt am 15. Februar 2019 in Kraft und mit Ablauf des 14. Februar 2022 außer Kraft.</w:t>
      </w:r>
    </w:p>
    <w:p>
      <w:r>
        <w:rPr>
          <w:color w:val="555555"/>
          <w:sz w:val="17"/>
        </w:rPr>
        <w:t xml:space="preserve">Zitiervorschlag: § 3 AISAnl§60Abs3SeeSchStrONutzV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https://recht.nulegal.eu/gesetze/AISAnl%C2%A760Abs3SeeSchStrONutzV/3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