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AIIBÜbkG</w:t>
      </w:r>
    </w:p>
    <w:p>
      <w:r>
        <w:rPr>
          <w:color w:val="555555"/>
          <w:sz w:val="18"/>
        </w:rPr>
        <w:t xml:space="preserve">Gesetz zu dem Übereinkommen vom 29. Juni 2015 zur Gründung der Asiatischen Infrastruktur-Investitionsbank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Erfüllung der Verpflichtungen, die der Bundesrepublik Deutschland aus dem Übereinkommen über die Asiatische Infrastruktur-Investitionsbank erwachsen, wird die Bundesregierung ermächtigt, vom Grundkapital 44 842 Anteile im Wert von 4,4842 Milliarden US-Dollar, davon 35 873,6 Anteile als abrufbares Haftungskapital zu erwerben.</w:t>
      </w:r>
    </w:p>
    <w:p>
      <w:r>
        <w:rPr>
          <w:color w:val="555555"/>
          <w:sz w:val="17"/>
        </w:rPr>
        <w:t xml:space="preserve">Zitiervorschlag: Artikel 2 AIIBÜbkG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https://recht.nulegal.eu/gesetze/AIIB%C3%9CbkG/2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