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AIGGebO (Brandenburg) — In-Kraft-Treten, Außer-Kraft-Treten</w:t>
      </w:r>
    </w:p>
    <w:p>
      <w:r>
        <w:rPr>
          <w:color w:val="555555"/>
          <w:sz w:val="18"/>
        </w:rPr>
        <w:t xml:space="preserve">Akteneinsichts- und Informationszugangsgebührenordnung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2. April 2001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des Innern</w:t>
      </w:r>
    </w:p>
    <w:p>
      <w:r>
        <w:t xml:space="preserve">Jörg Schönbohm</w:t>
      </w:r>
    </w:p>
    <w:p>
      <w:r>
        <w:rPr>
          <w:color w:val="555555"/>
          <w:sz w:val="17"/>
        </w:rPr>
        <w:t xml:space="preserve">Zitiervorschlag: § 4 AIGGebO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https://recht.nulegal.eu/gesetze/AIGGebO/4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