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AIGGebO (Brandenburg) — Auslagen</w:t>
      </w:r>
    </w:p>
    <w:p>
      <w:r>
        <w:rPr>
          <w:color w:val="555555"/>
          <w:sz w:val="18"/>
        </w:rPr>
        <w:t xml:space="preserve">Akteneinsichts- und Informationszugangsgebührenordnung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Auslagen, die im Zusammenhang mit der</w:t>
      </w:r>
    </w:p>
    <w:p>
      <w:r>
        <w:t xml:space="preserve">gebührenpflichtigen Amtshandlung notwendig werden, gelten als bereits in</w:t>
      </w:r>
    </w:p>
    <w:p>
      <w:r>
        <w:t xml:space="preserve">die Gebühr einbezogen.</w:t>
      </w:r>
    </w:p>
    <w:p>
      <w:r>
        <w:t xml:space="preserve">(2) Absatz 1 gilt nicht, sofern das Akteneinsichtsrecht auf</w:t>
      </w:r>
    </w:p>
    <w:p>
      <w:r>
        <w:t xml:space="preserve">andere Weise als durch Einsicht in die Originaldokumente erfüllt wird</w:t>
      </w:r>
    </w:p>
    <w:p>
      <w:r>
        <w:t xml:space="preserve">(§ 7 Akteneinsichts- und Informationszugangsgesetz); hierfür</w:t>
      </w:r>
    </w:p>
    <w:p>
      <w:r>
        <w:t xml:space="preserve">notwendige Auslagen hat der Antragsteller zu ersetzen. Die Höhe der</w:t>
      </w:r>
    </w:p>
    <w:p>
      <w:r>
        <w:t xml:space="preserve">Auslagen bestimmt sich nach Tarifstelle 3. der Anlage. Die Auslagen sind auch</w:t>
      </w:r>
    </w:p>
    <w:p>
      <w:r>
        <w:t xml:space="preserve">dann zu erstatten, wenn für eine Amtshandlung Gebührenfreiheit</w:t>
      </w:r>
    </w:p>
    <w:p>
      <w:r>
        <w:t xml:space="preserve">besteht oder von der Gebührenerhebung ganz oder teilweise abgesehen wird.</w:t>
      </w:r>
    </w:p>
    <w:p>
      <w:r>
        <w:rPr>
          <w:color w:val="555555"/>
          <w:sz w:val="17"/>
        </w:rPr>
        <w:t xml:space="preserve">Zitiervorschlag: § 3 AIGGebO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https://recht.nulegal.eu/gesetze/AIGGebO/3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