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AIGGebO (Brandenburg) — Gebührenbemessung</w:t>
      </w:r>
    </w:p>
    <w:p>
      <w:r>
        <w:rPr>
          <w:color w:val="555555"/>
          <w:sz w:val="18"/>
        </w:rPr>
        <w:t xml:space="preserve">Akteneinsichts- und Informationszugangsgebührenordnung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Festsetzung der Gebühr sind im Einzelfall zu</w:t>
      </w:r>
    </w:p>
    <w:p>
      <w:r>
        <w:t xml:space="preserve">berücksichtigen</w:t>
      </w:r>
    </w:p>
    <w:p>
      <w:r>
        <w:t xml:space="preserve">der mit der Amtshandlung verbundene Verwaltungsaufwand, soweit</w:t>
      </w:r>
    </w:p>
    <w:p>
      <w:r>
        <w:t xml:space="preserve">Aufwendungen nicht als Auslagen gesondert berechnet werden, und</w:t>
      </w:r>
    </w:p>
    <w:p>
      <w:r>
        <w:t xml:space="preserve">auf Antrag die wirtschaftlichen Verhältnisse des Antragstellers.</w:t>
      </w:r>
    </w:p>
    <w:p>
      <w:r>
        <w:rPr>
          <w:color w:val="555555"/>
          <w:sz w:val="17"/>
        </w:rPr>
        <w:t xml:space="preserve">Zitiervorschlag: § 2 AIGGebO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https://recht.nulegal.eu/gesetze/AIGGebO/2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