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AIGGebO (Brandenburg) — Gebührentarif</w:t>
      </w:r>
    </w:p>
    <w:p>
      <w:r>
        <w:rPr>
          <w:color w:val="555555"/>
          <w:sz w:val="18"/>
        </w:rPr>
        <w:t xml:space="preserve">Akteneinsichts- und Informationszugangsgebührenordnung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Für Amtshandlungen beim Vollzug des Akteneinsichts- und</w:t>
      </w:r>
    </w:p>
    <w:p>
      <w:r>
        <w:t xml:space="preserve">Informationszugangsgesetzes werden Gebühren nach anliegendem</w:t>
      </w:r>
    </w:p>
    <w:p>
      <w:r>
        <w:t xml:space="preserve">Gebührentarif, der Bestandteil dieser Verordnung ist, erhoben.</w:t>
      </w:r>
    </w:p>
    <w:p>
      <w:r>
        <w:rPr>
          <w:color w:val="555555"/>
          <w:sz w:val="17"/>
        </w:rPr>
        <w:t xml:space="preserve">Zitiervorschlag: § 1 AIGGebO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https://recht.nulegal.eu/gesetze/AIGGebO/1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