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AIG (Brandenburg) — Informationsrecht für Bürgerinitiativen und Verbände zur Beeinflussung öffentlicher Angelegenheiten</w:t>
      </w:r>
    </w:p>
    <w:p>
      <w:r>
        <w:rPr>
          <w:color w:val="555555"/>
          <w:sz w:val="18"/>
        </w:rPr>
        <w:t xml:space="preserve">Akteneinsichts- und Informationszugangsgesetz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Dieses Gesetz findet entsprechend Anwendung auf Bürgerinitiativen und Verbände zur Beeinflussung öffentlicher Angelegenheiten im Sinne des Artikels 21 Abs. 3 der Verfassung des Landes Brandenburg, soweit sie ihr Recht auf Information geltend machen.</w:t>
      </w:r>
    </w:p>
    <w:p>
      <w:r>
        <w:t xml:space="preserve">(2) Anträge nach Absatz 1 können nur durch den Vorstand oder einen besonders hierzu Bevollmächtigten gestellt werden. In Zweifelsfällen ist gegenüber der Behörde die Vertretungsbefugnis nachzuweisen.</w:t>
      </w:r>
    </w:p>
    <w:p>
      <w:r>
        <w:rPr>
          <w:color w:val="555555"/>
          <w:sz w:val="17"/>
        </w:rPr>
        <w:t xml:space="preserve">Zitiervorschlag: § 9 AIG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https://recht.nulegal.eu/gesetze/AIG/9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