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AIG (Brandenburg) — Einschränkung von Grundrechten</w:t>
      </w:r>
    </w:p>
    <w:p>
      <w:r>
        <w:rPr>
          <w:color w:val="555555"/>
          <w:sz w:val="18"/>
        </w:rPr>
        <w:t xml:space="preserve">Akteneinsichts- und Informationszugangsgesetz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Durch dieses Gesetz werden das Recht auf Datenschutz (Artikel 11 Absatz 1 der Verfassung des Landes Brandenburg) und das Recht auf Berufsfreiheit (Artikel 49 Absatz 1 Satz 1 der Verfassung des Landes Brandenburg) eingeschränkt.</w:t>
      </w:r>
    </w:p>
    <w:p>
      <w:r>
        <w:t xml:space="preserve">Potsdam, den 10. März 1998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12 AIG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