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AIG (Brandenburg) — Akteneinsichtsrecht</w:t>
      </w:r>
    </w:p>
    <w:p>
      <w:r>
        <w:rPr>
          <w:color w:val="555555"/>
          <w:sz w:val="18"/>
        </w:rPr>
        <w:t xml:space="preserve">Akteneinsichts- und Informationszugangsgesetz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Jeder hat nach Maßgabe dieses Gesetzes das Recht auf Einsicht in Akten, soweit nicht überwiegende öffentliche oder private Interessen nach den §§ 4 und 5 entgegenstehen oder andere Rechtsvorschriften bereichsspezifische Regelungen für einen unbeschränkten Personenkreis enthalten.</w:t>
      </w:r>
    </w:p>
    <w:p>
      <w:r>
        <w:rPr>
          <w:color w:val="555555"/>
          <w:sz w:val="17"/>
        </w:rPr>
        <w:t xml:space="preserve">Zitiervorschlag: § 1 AIG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