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AHundV — Fremdausbildung und Selbstausbildung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Die Ausbildung erfolgt als Fremdausbildung oder Selbstausbildung.</w:t>
      </w:r>
    </w:p>
    <w:p>
      <w:r>
        <w:t xml:space="preserve">(2) Bei der Selbstausbildung leitet die Ausbildungsstätte den Menschen mit Behinderungen an und führt notwendige Schulungen, insbesondere zur Zusammenarbeit von Mensch und Hund durch. Art und Umfang der Einbeziehung der Ausbildungsstätte richten sich nach den jeweiligen Erfordernissen und Bedürfnissen des Menschen mit Behinderungen. Sie muss jedoch mindestens einen Umfang von 60 Zeitstunden, verteilt auf einen Zeitraum von zwei Monaten, umfassen.</w:t>
      </w:r>
    </w:p>
    <w:p>
      <w:r>
        <w:t xml:space="preserve">(3) Von den zeitlichen Vorgaben des Absatzes 2 Satz 3 kann im Einzelfall abgewichen werden, wenn hierfür erhebliche Gründe vorliegen. Ein erheblicher Grund liegt insbesondere dann vor, wenn der Mensch mit Behinderungen bereits eine Ausbildung mit einem anderen Hund absolviert oder begleitet hat.</w:t>
      </w:r>
    </w:p>
    <w:p>
      <w:r>
        <w:rPr>
          <w:color w:val="555555"/>
          <w:sz w:val="17"/>
        </w:rPr>
        <w:t xml:space="preserve">Zitiervorschlag: § 7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