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AHundV — Akkreditierung als fachliche Stelle</w:t>
      </w:r>
    </w:p>
    <w:p>
      <w:r>
        <w:rPr>
          <w:color w:val="555555"/>
          <w:sz w:val="18"/>
        </w:rPr>
        <w:t xml:space="preserve">Assistenzhundeverordnung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Die Akkreditierung als fachliche Stelle erfolgt auf Antrag bei der Deutsche Akkreditierungsstelle GmbH. Als fachliche Stelle ist zu akkreditieren, wer nachweist, dass</w:t>
      </w:r>
    </w:p>
    <w:p>
      <w:pPr>
        <w:ind w:left="420"/>
      </w:pPr>
      <w:r>
        <w:t xml:space="preserve">1. die bei ihm mit den entsprechenden Aufgaben betrauten Personen die erforderliche Sachkunde besitzen, um die Anforderungen an die Zulassung von Ausbildungsstätten zu beurteilen; dies umfasst insbesondere die Beurteilung, ob eine Ausbildungsstätte in der Lage ist, die Ausbildung gemäß den Anforderungen dieser Verordnung, des Tierschutzgesetzes und der Tierschutz-Hundeverordnung durchzuführen und die in dieser Verordnung festgelegten strukturellen und personellen Anforderungen erfüllt,</w:t>
      </w:r>
    </w:p>
    <w:p>
      <w:pPr>
        <w:ind w:left="420"/>
      </w:pPr>
      <w:r>
        <w:t xml:space="preserve">2. er über ein transparentes und dokumentiertes Verfahren zur Ermittlung und Abrechnung des Aufwands der Zulassungsprüfung sowie deren Überprüfung verfügt und</w:t>
      </w:r>
    </w:p>
    <w:p>
      <w:pPr>
        <w:ind w:left="420"/>
      </w:pPr>
      <w:r>
        <w:t xml:space="preserve">3. die weiteren Anforderungen des § 12j Absatz 1 des Behindertengleichstellungsgesetzes erfüllt sind.</w:t>
      </w:r>
    </w:p>
    <w:p>
      <w:r>
        <w:rPr>
          <w:color w:val="555555"/>
          <w:sz w:val="17"/>
        </w:rPr>
        <w:t xml:space="preserve">Zitiervorschlag: § 28 AHundV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https://recht.nulegal.eu/gesetze/AHundV/28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