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AHundV — Individuelle Bedarfe von Menschen mit Behinderungen, Barrierefreiheit, Kompensation von Benachteiligungen</w:t>
      </w:r>
    </w:p>
    <w:p>
      <w:r>
        <w:rPr>
          <w:color w:val="555555"/>
          <w:sz w:val="18"/>
        </w:rPr>
        <w:t xml:space="preserve">Assistenzhundeverordnung</w:t>
      </w:r>
    </w:p>
    <w:p>
      <w:r>
        <w:rPr>
          <w:color w:val="555555"/>
          <w:sz w:val="18"/>
        </w:rPr>
        <w:t xml:space="preserve">Stand: 01.03.2023 (konsolidierte Textfassung, kein amtliches Inkrafttretensdatum)</w:t>
      </w:r>
    </w:p>
    <w:p>
      <w:r>
        <w:t xml:space="preserve">Die individuellen Bedarfe von Menschen mit Behinderungen sind bei der Konzeption und Durchführung der Prüfung zu berücksichtigen. Insbesondere erfolgt die Prüfung für den Menschen mit Behinderungen barrierefrei oder, soweit dies nicht möglich oder zumutbar ist, durch die Bereitstellung der erforderlichen angemessenen Vorkehrungen. Individuelle Benachteiligungen werden so weit wie möglich kompensiert.</w:t>
      </w:r>
    </w:p>
    <w:p>
      <w:r>
        <w:rPr>
          <w:color w:val="555555"/>
          <w:sz w:val="17"/>
        </w:rPr>
        <w:t xml:space="preserve">Zitiervorschlag: § 17 AHundV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https://recht.nulegal.eu/gesetze/AHundV/17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