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AHundV — Anmeldung zur Prüfung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Zur Prüfung muss der Mensch mit Behinderungen sich und den Hund bei einem Prüfer anmelden.</w:t>
      </w:r>
    </w:p>
    <w:p>
      <w:r>
        <w:t xml:space="preserve">(2) Mit der Anmeldung, spätestens aber zwei Wochen vor der Prüfung, müssen bei dem Prüfer die folgenden Unterlagen vorliegen:</w:t>
      </w:r>
    </w:p>
    <w:p>
      <w:pPr>
        <w:ind w:left="420"/>
      </w:pPr>
      <w:r>
        <w:t xml:space="preserve">1. die Kopie eines Identitätsnachweises des Menschen mit Behinderungen und der Bezugsperson, sofern eine solche vorhanden ist, sowie ein Lichtbild des Menschen mit Behinderungen,</w:t>
      </w:r>
    </w:p>
    <w:p>
      <w:pPr>
        <w:ind w:left="420"/>
      </w:pPr>
      <w:r>
        <w:t xml:space="preserve">2. eine Bescheinigung über den Namen, die Rasse, das Geschlecht und den Wurftag des Hundes sowie über den Nummerncode des Mikrochip-Transponders und ein Lichtbild des Hundes,</w:t>
      </w:r>
    </w:p>
    <w:p>
      <w:pPr>
        <w:ind w:left="420"/>
      </w:pPr>
      <w:r>
        <w:t xml:space="preserve">3. das Attest über die gesundheitliche Eignung des Hundes gemäß § 5 Absatz 3 Satz 2, der Befunderhebungsbogen und die weiteren Untersuchungsergebnisse gemäß § 5 Absatz 3 Satz 3 und eine tierärztliche Bestätigung über das Fortbestehen der gesundheitlichen Eignung, wenn die tierärztliche Untersuchung zum Nachweis der gesundheitlichen Eignung länger als ein Jahr zurückliegt,</w:t>
      </w:r>
    </w:p>
    <w:p>
      <w:pPr>
        <w:ind w:left="420"/>
      </w:pPr>
      <w:r>
        <w:t xml:space="preserve">4. der Nachweis der konkret-individuellen Eignung nach § 10 Absatz 1 Satz 2,</w:t>
      </w:r>
    </w:p>
    <w:p>
      <w:pPr>
        <w:ind w:left="420"/>
      </w:pPr>
      <w:r>
        <w:t xml:space="preserve">5. eine Kopie des Ausbildungsnachweises nach § 12 Absatz 3 Satz 1,</w:t>
      </w:r>
    </w:p>
    <w:p>
      <w:pPr>
        <w:ind w:left="420"/>
      </w:pPr>
      <w:r>
        <w:t xml:space="preserve">6. bei Abweichung von den zeitlichen Vorgaben des § 7 Absatz 2, eine Darlegung der dafür erheblichen Gründe,</w:t>
      </w:r>
    </w:p>
    <w:p>
      <w:pPr>
        <w:ind w:left="420"/>
      </w:pPr>
      <w:r>
        <w:t xml:space="preserve">7. eine Übersicht über die Hilfeleistungen.</w:t>
      </w:r>
    </w:p>
    <w:p>
      <w:r>
        <w:t xml:space="preserve">(3) Die Anmeldung kann bei jedem nach § 30 Absatz 1 zugelassenen Prüfer erfolgen.</w:t>
      </w:r>
    </w:p>
    <w:p>
      <w:r>
        <w:rPr>
          <w:color w:val="555555"/>
          <w:sz w:val="17"/>
        </w:rPr>
        <w:t xml:space="preserve">Zitiervorschlag: § 15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