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AHundV — Anwendungsbereich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(1) Diese Verordnung ist anwendbar auf Assistenzhunde im Sinne des § 12e Absatz 3 des Behindertengleichstellungsgesetzes.</w:t>
      </w:r>
    </w:p>
    <w:p>
      <w:r>
        <w:t xml:space="preserve">(2) Abweichend von Absatz 1 gelten</w:t>
      </w:r>
    </w:p>
    <w:p>
      <w:pPr>
        <w:ind w:left="420"/>
      </w:pPr>
      <w:r>
        <w:t xml:space="preserve">1. für Blindenführhunde und andere Assistenzhunde, die als Hilfsmittel im Sinne des § 33 des Fünften Buches Sozialgesetzbuch gewährt werden oder gewährt worden sind, ausschließlich die §§ 2, 23, 24 Absatz 2, § 26 und 27,</w:t>
      </w:r>
    </w:p>
    <w:p>
      <w:pPr>
        <w:ind w:left="420"/>
      </w:pPr>
      <w:r>
        <w:t xml:space="preserve">2. für Assistenzhunde im Sinne des § 12e Absatz 3 Satz 2 Nummer 3 des Behindertengleichstellungsgesetzes ausschließlich die §§ 2, 22, 24 bis 27 sowie</w:t>
      </w:r>
    </w:p>
    <w:p>
      <w:pPr>
        <w:ind w:left="420"/>
      </w:pPr>
      <w:r>
        <w:t xml:space="preserve">3. für Assistenzhunde im Sinne des § 12e Absatz 3 Satz 2 Nummer 4 des Behindertengleichstellungsgesetzes ausschließlich die §§ 2, 21, 24 bis 27.</w:t>
      </w:r>
    </w:p>
    <w:p>
      <w:r>
        <w:rPr>
          <w:color w:val="555555"/>
          <w:sz w:val="17"/>
        </w:rPr>
        <w:t xml:space="preserve">Zitiervorschlag: § 1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