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AHVO (Nordrhein-Westfalen) — Verfahren zur Meldung etwaiger Unzulänglichkeiten</w:t>
      </w:r>
    </w:p>
    <w:p>
      <w:r>
        <w:rPr>
          <w:color w:val="555555"/>
          <w:sz w:val="18"/>
        </w:rPr>
        <w:t xml:space="preserve">Allgemeine Hafenverordnung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Schiffsführung, die Unzulänglichkeiten bei der Entsorgung von Schiffsabfällen und Ladungsrückständen in einem Hafen feststellt, muss diese schriftlich und im Sinne von Artikel 4 Absatz 3 der Hafenentsorgungsrichtlinie (2000/59/EG) im Interesse der Verbesserung der zuständigen Hafenbehörde melden. Zu verwenden ist im Regelfall der Vordruck über Unzulänglichkeiten von Auffanganlagen in Häfen (Anlage 6 zu MEPC 27/16), der im Abfallbewirtschaftungsplan des betroffenen Hafens mit Telefax-Nummer der zuständigen Hafenbehörde enthalten sein soll.</w:t>
      </w:r>
    </w:p>
    <w:p>
      <w:r>
        <w:t xml:space="preserve">(2) Die zuständige Hafenbehörde informiert die Betreiber des Hafens oder der Umschlaganlagen, die sich in dem jeweiligen Hafen befinden, über diese Meldung.</w:t>
      </w:r>
    </w:p>
    <w:p>
      <w:r>
        <w:t xml:space="preserve">(3) Die zuständige Hafenbehörde unterrichtet die oberste Hafenbehörde über die Meldungen von Unzulänglichkeiten sowie das in dem Zusammenhang Veranlasste regelmäßig, mindestens jedoch einmal jährlich zum 31.3. jeweils des Folgejahres.</w:t>
      </w:r>
    </w:p>
    <w:p>
      <w:r>
        <w:t xml:space="preserve">(4) Die oberste Hafenbehörde leitet die Meldungen an das für Verkehr zuständige Bundesministerium sowie nachrichtlich an die oberste Abfallwirtschaftsbehörde des Landes weiter.</w:t>
      </w:r>
    </w:p>
    <w:p>
      <w:r>
        <w:t xml:space="preserve">Teil 3</w:t>
      </w:r>
    </w:p>
    <w:p>
      <w:r>
        <w:t xml:space="preserve">Ordnungswidrigkeiten und Schlussvorschriften</w:t>
      </w:r>
    </w:p>
    <w:p>
      <w:r>
        <w:rPr>
          <w:color w:val="555555"/>
          <w:sz w:val="17"/>
        </w:rPr>
        <w:t xml:space="preserve">Zitiervorschlag: § 46 AHVO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https://recht.nulegal.eu/gesetze/AHVO/46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