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AHVO (Nordrhein-Westfalen) — Geltungsbereich</w:t>
      </w:r>
    </w:p>
    <w:p>
      <w:r>
        <w:rPr>
          <w:color w:val="555555"/>
          <w:sz w:val="18"/>
        </w:rPr>
        <w:t xml:space="preserve">Allgemeine Hafenverordnung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Dieser Abschnitt gilt für Häfen und Umschlaganlagen, soweit eine Schnittstelle Seeschiff/Hafen besteht oder hergestellt werden soll.</w:t>
      </w:r>
    </w:p>
    <w:p>
      <w:r>
        <w:rPr>
          <w:color w:val="555555"/>
          <w:sz w:val="17"/>
        </w:rPr>
        <w:t xml:space="preserve">Zitiervorschlag: § 41 AHVO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https://recht.nulegal.eu/gesetze/AHVO/41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