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AHVO (Nordrhein-Westfalen) — Verhalten bei Gewitter</w:t>
      </w:r>
    </w:p>
    <w:p>
      <w:r>
        <w:rPr>
          <w:color w:val="555555"/>
          <w:sz w:val="18"/>
        </w:rPr>
        <w:t xml:space="preserve">Allgemeine Hafenverordnung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Während eines Gewitters ist das Laden oder Löschen verboten.</w:t>
      </w:r>
    </w:p>
    <w:p>
      <w:r>
        <w:t xml:space="preserve">Sechster Abschnitt</w:t>
      </w:r>
    </w:p>
    <w:p>
      <w:r>
        <w:t xml:space="preserve">Vorschriften über harmonisierte Binnenschifffahrtsinformationsdienste</w:t>
      </w:r>
    </w:p>
    <w:p>
      <w:r>
        <w:t xml:space="preserve">in Binnenhäfen*)</w:t>
      </w:r>
    </w:p>
    <w:p>
      <w:r>
        <w:rPr>
          <w:color w:val="555555"/>
          <w:sz w:val="17"/>
        </w:rPr>
        <w:t xml:space="preserve">Zitiervorschlag: § 38 AHVO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https://recht.nulegal.eu/gesetze/AHVO/38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