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AHVO (Nordrhein-Westfalen) — Aufenthalt an Bord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Aufenthalt von Personen an Bord ist während des Ladens und Löschens von gefährlichen Gütern verboten.</w:t>
      </w:r>
    </w:p>
    <w:p>
      <w:r>
        <w:t xml:space="preserve">(2) Ausgenommen vom Verbot des Absatzes 1 sind Personen, die</w:t>
      </w:r>
    </w:p>
    <w:p>
      <w:r>
        <w:t xml:space="preserve">a) für den Umschlag oder die Führung des Fahrzeuges notwendig sind</w:t>
      </w:r>
    </w:p>
    <w:p>
      <w:r>
        <w:t xml:space="preserve">oder</w:t>
      </w:r>
    </w:p>
    <w:p>
      <w:r>
        <w:t xml:space="preserve">b) sich aus dienstlichen Gründen an Bord aufhalten</w:t>
      </w:r>
    </w:p>
    <w:p>
      <w:r>
        <w:t xml:space="preserve">oder</w:t>
      </w:r>
    </w:p>
    <w:p>
      <w:r>
        <w:t xml:space="preserve">c) ständig an Bord wohnen.</w:t>
      </w:r>
    </w:p>
    <w:p>
      <w:r>
        <w:rPr>
          <w:color w:val="555555"/>
          <w:sz w:val="17"/>
        </w:rPr>
        <w:t xml:space="preserve">Zitiervorschlag: § 35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