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AHVO (Nordrhein-Westfalen) — Anwendung anderer Vorschriften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in dieser Verordnung nichts Abweichendes bestimmt ist, gelten die folgenden Vorschriften in ihrer jeweils geltenden Fassung entsprechend:</w:t>
      </w:r>
    </w:p>
    <w:p>
      <w:r>
        <w:t xml:space="preserve">1. Die Binnenschifffahrtsstraßen-Ordnung vom 16. Dezember 2011 (BGBl. 2012 I S. 2, 1666),</w:t>
      </w:r>
    </w:p>
    <w:p>
      <w:r>
        <w:t xml:space="preserve">2. die Rheinschifffahrtspolizeiverordnung, eingeführt durch Verordnung zur Einführung der Rheinschifffahrtspolizeiverordnung vom 19. Dezember 1994 (BGBl. II S. 3816),</w:t>
      </w:r>
    </w:p>
    <w:p>
      <w:r>
        <w:t xml:space="preserve">3. die Binnenschiffsuntersuchungsordnung vom 21. September 2018 (BGBl. I S. 1398),</w:t>
      </w:r>
    </w:p>
    <w:p>
      <w:r>
        <w:t xml:space="preserve">4. die Binnenschifferpatentverordnung vom 15. Dezember 1997 (BGBl. I S. 3066),</w:t>
      </w:r>
    </w:p>
    <w:p>
      <w:r>
        <w:t xml:space="preserve">5. die Schiffspersonalverordnung-Rhein eingeführt durch die Verordnung zur Einführung der Verordnung über das Schiffspersonal auf dem Rhein vom 16. Dezember 2011 (BGBl. 2011 II S. 1300 und Anlageband),</w:t>
      </w:r>
    </w:p>
    <w:p>
      <w:r>
        <w:t xml:space="preserve">6. die Sportbootführerscheinverordnung-Binnen vom 22. März 1989 (BGBl. I S. 536, S. 1102),</w:t>
      </w:r>
    </w:p>
    <w:p>
      <w:r>
        <w:t xml:space="preserve">7. die Binnenschifffahrt-Sprechfunkverordnung vom 18. Dezember 2002 (BGBl. I S. 4569 ber. I 2003 S. 130),</w:t>
      </w:r>
    </w:p>
    <w:p>
      <w:r>
        <w:t xml:space="preserve">8. die Gefahrgutverordnung Straße, Eisenbahn und Binnenschifffahrt in der Fassung der Bekanntmachung vom 30. März 2015 (BGBl. I S. 366),</w:t>
      </w:r>
    </w:p>
    <w:p>
      <w:r>
        <w:t xml:space="preserve">9. das Gefahrgutbeförderungsgesetz in der Fassung der Bekanntmachung vom 7. Juli 2009 (BGBl. I S. 1774, 3975),</w:t>
      </w:r>
    </w:p>
    <w:p>
      <w:r>
        <w:t xml:space="preserve">10. das europäische Übereinkommen über die internationale Beförderung von gefährlichen Gütern auf Binnenwasserstraßen vom 26. Mai 2000 (BGBl. 2007 II S. 1906, 1908; 2009 II S. 162),</w:t>
      </w:r>
    </w:p>
    <w:p>
      <w:r>
        <w:t xml:space="preserve">11. das Ausführungsgesetz zu dem Übereinkommen vom 9. September 1996 über die Sammlung, Abgabe und Annahme von Abfällen in der Rhein- und Binnenschifffahrt vom 13. Dezember 2003 (BGBl. I S. 2642) und</w:t>
      </w:r>
    </w:p>
    <w:p>
      <w:r>
        <w:t xml:space="preserve">12. das Gesetz zu dem Übereinkommen über die Sammlung, Abgabe und Annahme von Abfällen in der Rhein- und Binnenschifffahrt vom 9. September 1996 (BGBl. 2003 II S. 1799)</w:t>
      </w:r>
    </w:p>
    <w:p>
      <w:r>
        <w:t xml:space="preserve">Dabei gelten die für bestimmte Wasserstraßen erlassenen Vorschriften nur für die an diesen Wasserstraßen liegenden Häfen.</w:t>
      </w:r>
    </w:p>
    <w:p>
      <w:r>
        <w:rPr>
          <w:color w:val="555555"/>
          <w:sz w:val="17"/>
        </w:rPr>
        <w:t xml:space="preserve">Zitiervorschlag: § 3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