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AHVO (Nordrhein-Westfalen) — Verordnungen der Bezirksregierungen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Weitere Regelungen durch Verordnungen der Bezirksregierungen im Rahmen des § 37 Absatz 3 LWG bleiben unberührt.</w:t>
      </w:r>
    </w:p>
    <w:p>
      <w:r>
        <w:t xml:space="preserve">Fünfter Abschnitt</w:t>
      </w:r>
    </w:p>
    <w:p>
      <w:r>
        <w:t xml:space="preserve">Zusätzliche Vorschriften für Häfen, in denen gefährliche Güter oder wassergefährdende</w:t>
      </w:r>
    </w:p>
    <w:p>
      <w:r>
        <w:t xml:space="preserve">Stoffe befördert und umgeschlagen werden</w:t>
      </w:r>
    </w:p>
    <w:p>
      <w:r>
        <w:rPr>
          <w:color w:val="555555"/>
          <w:sz w:val="17"/>
        </w:rPr>
        <w:t xml:space="preserve">Zitiervorschlag: § 28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