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AHVO (Nordrhein-Westfalen) — Gebrauch der Propulsionsorgane und Bugstrahlanlagenbei festgemachten Wasserfahrzeugen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festgemachten Wasserfahrzeugen dürfen die Propulsionsorgane oder Bugstrahlanlagen nicht in Gang gesetzt werden. Das gilt nicht</w:t>
      </w:r>
    </w:p>
    <w:p>
      <w:r>
        <w:t xml:space="preserve">a) kurz vor dem Ablegen,</w:t>
      </w:r>
    </w:p>
    <w:p>
      <w:r>
        <w:t xml:space="preserve">b) kurzfristig bei Reparatur- und Wartungsarbeiten,</w:t>
      </w:r>
    </w:p>
    <w:p>
      <w:r>
        <w:t xml:space="preserve">c) zur Vermeidung von Eisbildung im Bereich der Propeller- und Ruderanlage,</w:t>
      </w:r>
    </w:p>
    <w:p>
      <w:r>
        <w:t xml:space="preserve">d) für Standproben mit Erlaubnis der Hafenbehörde.</w:t>
      </w:r>
    </w:p>
    <w:p>
      <w:r>
        <w:t xml:space="preserve">(2) Durch den Gebrauch der Propulsionsorgane oder der Bugstrahlanlagen dürfen die Hafensohle und wasserbauliche Anlagen nicht beschädigt sowie andere Fahrzeuge nicht gefährdet werden.</w:t>
      </w:r>
    </w:p>
    <w:p>
      <w:r>
        <w:t xml:space="preserve">(3) Bei Gebrauch der Propulsionsorgane oder der Bugstrahlanlagen muss ein Mitglied der Besatzung näher kommende Fahrzeuge warnen und nötigenfalls veranlassen, dass der Betrieb des eigenen Propulsionsorgans oder der Bugstrahlanlagen gestoppt wird.</w:t>
      </w:r>
    </w:p>
    <w:p>
      <w:r>
        <w:rPr>
          <w:color w:val="555555"/>
          <w:sz w:val="17"/>
        </w:rPr>
        <w:t xml:space="preserve">Zitiervorschlag: § 22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