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AHVO (Nordrhein-Westfalen) — Besetzung und Bewachung der Fahrzeuge</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Schiffsführer, Eigentümer oder Aufsichtspflichtige haben für die Zeit ihrer Abwesenheit einen geeigneten Vertreter einzusetzen. Der Vertreter muss kurzfristig erreichbar sein und über das Wasserfahrzeug, seine Ladung oder die schwimmende Anlage Auskunft geben können. Er hat im Übrigen die Pflichten des Schiffsführers oder Aufsichtspflichtigen wahrzunehmen. Für Fahrzeuge und schwimmende Anlagen, die ständig ohne Besatzung sind, ist der Hafenbehörde ein geeigneter Vertreter oder Aufsichtspflichtiger zu benennen.</w:t>
      </w:r>
    </w:p>
    <w:p>
      <w:r>
        <w:t xml:space="preserve">(2) Die Hafenbehörde kann im Einzelfall von der Verpflichtung nach Absatz 1 befreien oder etwas anderes bestimmen.</w:t>
      </w:r>
    </w:p>
    <w:p>
      <w:r>
        <w:rPr>
          <w:color w:val="555555"/>
          <w:sz w:val="17"/>
        </w:rPr>
        <w:t xml:space="preserve">Zitiervorschlag: § 20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