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AHVO (Nordrhein-Westfalen) — Geltungsbereich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alle Häfen und Umschlaganlagen in Nordrhein-Westfalen.</w:t>
      </w:r>
    </w:p>
    <w:p>
      <w:r>
        <w:t xml:space="preserve">(2) Die räumlich abgegrenzten Bereiche der Häfen werden durch gesonderte Rechtsvorschriften bestimmt. Für nichtbekanntgemachte Häfen und Umschlaganlagen gelten die Vorschriften dieser Verordnung entsprechend.</w:t>
      </w:r>
    </w:p>
    <w:p>
      <w:r>
        <w:t xml:space="preserve">(3) Diese Verordnung gilt nicht für</w:t>
      </w:r>
    </w:p>
    <w:p>
      <w:r>
        <w:t xml:space="preserve">1. bundeseigene Schutz- und Sicherheitshäfen sowie Bauhöfe des Bundes, in denen kein Güterumschlag stattfindet,</w:t>
      </w:r>
    </w:p>
    <w:p>
      <w:r>
        <w:t xml:space="preserve">2. Hafenanlagen, die Bestandteile von Landesbauhöfen sind und</w:t>
      </w:r>
    </w:p>
    <w:p>
      <w:r>
        <w:t xml:space="preserve">3. Häfen, die ausschließlich der Sport- und Freizeitschifffahrt dienen,</w:t>
      </w:r>
    </w:p>
    <w:p>
      <w:r>
        <w:t xml:space="preserve">4. Personen, die im Hafen Hoheitsaufgaben wahrzunehmen haben, soweit es der hoheitliche Zweck erfordert.</w:t>
      </w:r>
    </w:p>
    <w:p>
      <w:r>
        <w:rPr>
          <w:color w:val="555555"/>
          <w:sz w:val="17"/>
        </w:rPr>
        <w:t xml:space="preserve">Zitiervorschlag: § 1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