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Die Anmeldung ist durch Übergabe der amtlich vorgesehenen, ordnungsmäßig ausgefüllten Anmeldepapiere durch den Anmeldepflichtigen an die Anmeldestelle zu bewirken.</w:t>
      </w:r>
    </w:p>
    <w:p>
      <w:r>
        <w:t xml:space="preserve">(2) Das Anmeldepapier ist der Anmeldestelle zu übergeben</w:t>
      </w:r>
    </w:p>
    <w:p>
      <w:pPr>
        <w:ind w:left="420"/>
      </w:pPr>
      <w:r>
        <w:t xml:space="preserve">1. beim Eingang von Waren in das Erhebungsgebiet, soweit eine Zollabfertigung stattfindet, zugleich mit dem Zollantrag;</w:t>
      </w:r>
    </w:p>
    <w:p>
      <w:pPr>
        <w:ind w:left="420"/>
      </w:pPr>
      <w:r>
        <w:t xml:space="preserve">2. beim Ausgang von Waren aus dem Erhebungsgebiet unverzüglich, sobald die Waren am Ort der Anmeldestelle eingetroffen oder dort zur Ausfuhr aufgeliefert worden sind.</w:t>
      </w:r>
    </w:p>
    <w:p>
      <w:r>
        <w:t xml:space="preserve">(3) Durch Rechtsverordnung kann ein anderer Zeitpunkt der Anmeldung (Absatz 2) festgelegt werden</w:t>
      </w:r>
    </w:p>
    <w:p>
      <w:pPr>
        <w:ind w:left="420"/>
      </w:pPr>
      <w:r>
        <w:t xml:space="preserve">1. für die übrigen sowie für besondere Fälle des Wareneingangs oder Warenausgangs;</w:t>
      </w:r>
    </w:p>
    <w:p>
      <w:pPr>
        <w:ind w:left="420"/>
      </w:pPr>
      <w:r>
        <w:t xml:space="preserve">2. soweit andere Rechtsvorschriften über die Wareneinfuhr und die Warenausfuhr dies aus Gründen der Verwaltungsvereinfachung erfordern.</w:t>
      </w:r>
    </w:p>
    <w:p>
      <w:r>
        <w:rPr>
          <w:color w:val="555555"/>
          <w:sz w:val="17"/>
        </w:rPr>
        <w:t xml:space="preserve">Zitiervorschlag: § 6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