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Bei der Anmeldung werden folgende Tatbestände erfaßt:</w:t>
      </w:r>
    </w:p>
    <w:p>
      <w:pPr>
        <w:ind w:left="420"/>
      </w:pPr>
      <w:r>
        <w:t xml:space="preserve">1. Name des Schiffes oder Zulassungszeichen des Luftfahrzeuges; Ankunfts- oder Verladetag; Ein-, Um- oder Ausladehafen; im Freihafenverkehr das Lager oder der Betrieb; Anlaß der Warenbewegung; Verkehrsart;</w:t>
      </w:r>
    </w:p>
    <w:p>
      <w:pPr>
        <w:ind w:left="420"/>
      </w:pPr>
      <w:r>
        <w:t xml:space="preserve">2. Benennung der Ware; Menge; Wert; Wertstellung; für den Warenverkehr maßgebende Währung; Herstellungs- oder Verbrauchsland, Versendungsland, Zielort oder Herstellungsort im Erhebungsgebiet; Verpackungsart und -merkmale oder das Beförderungsmittel; Anzahl und Merkzeichen der Güter;</w:t>
      </w:r>
    </w:p>
    <w:p>
      <w:pPr>
        <w:ind w:left="420"/>
      </w:pPr>
      <w:r>
        <w:t xml:space="preserve">3. ferner</w:t>
      </w:r>
    </w:p>
    <w:p>
      <w:pPr>
        <w:ind w:left="780"/>
      </w:pPr>
      <w:r>
        <w:t xml:space="preserve">a) Bei Einfuhr aus offenen Zollagern sowie bei Einfuhr im vereinfachten Zollverfahren (Sammelzollanmeldung oder Zollbehandlung ohne Abfertigung): Zollsatz, Grund der Zollbefreiung oder -ermäßigung;</w:t>
      </w:r>
    </w:p>
    <w:p>
      <w:pPr>
        <w:ind w:left="780"/>
      </w:pPr>
      <w:r>
        <w:t xml:space="preserve">b) bei Schiffsbedarf: Bestimmung der gelieferten Waren für deutsche oder für fremde Fahrzeuge;</w:t>
      </w:r>
    </w:p>
    <w:p>
      <w:pPr>
        <w:ind w:left="780"/>
      </w:pPr>
      <w:r>
        <w:t xml:space="preserve">c) bei Zwischenauslandsverkehr: das Land, durch dessen Gebiet die Waren gesandt werden, und bei Beförderung über See der Seeweg.</w:t>
      </w:r>
    </w:p>
    <w:p>
      <w:r>
        <w:t xml:space="preserve">-----</w:t>
      </w:r>
    </w:p>
    <w:p>
      <w:pPr>
        <w:ind w:left="420"/>
      </w:pPr>
      <w:r>
        <w:t xml:space="preserve">*) Gem. Art. 4 iVm Art. 13 der Statistikänderungsverordnung vom 20.11.1996 I 1804 (StatÄndV 29-22-4) werden die Erhebungen mWv 27.11.1996 bis zum 30.6.2000 ausgesetzt</w:t>
      </w:r>
    </w:p>
    <w:p>
      <w:r>
        <w:rPr>
          <w:color w:val="555555"/>
          <w:sz w:val="17"/>
        </w:rPr>
        <w:t xml:space="preserve">Zitiervorschlag: § 3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