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AHStatGes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Das Bundesministerium für Wirtschaft und Energie und das Bundesministerium der Finanzen werden ermächtigt, im Einvernehmen miteinander</w:t>
      </w:r>
    </w:p>
    <w:p>
      <w:pPr>
        <w:ind w:left="420"/>
      </w:pPr>
      <w:r>
        <w:t xml:space="preserve">1. die in § 4 Abs. 3, § 5 Abs. 2, § 6 Abs. 3, § 7 Abs. 4 und § 8 vorgesehenen Rechtsverordnungen zu erlassen;</w:t>
      </w:r>
    </w:p>
    <w:p>
      <w:pPr>
        <w:ind w:left="420"/>
      </w:pPr>
      <w:r>
        <w:t xml:space="preserve">2. durch Rechtsverordnung die in §§ 3 und 4 verwendeten Begriffe näher zu bestimmen und Durchführungsbestimmungen für das Anmeldeverfahren zu erlassen.</w:t>
      </w:r>
    </w:p>
    <w:p>
      <w:r>
        <w:rPr>
          <w:color w:val="555555"/>
          <w:sz w:val="17"/>
        </w:rPr>
        <w:t xml:space="preserve">Zitiervorschlag: § 13 AHStatGes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https://recht.nulegal.eu/gesetze/AHStatGes/13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