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AHStatGes</w:t>
      </w:r>
    </w:p>
    <w:p>
      <w:r>
        <w:rPr>
          <w:color w:val="555555"/>
          <w:sz w:val="18"/>
        </w:rPr>
        <w:t xml:space="preserve">Außenhandelsstatistikgesetz</w:t>
      </w:r>
    </w:p>
    <w:p>
      <w:r>
        <w:rPr>
          <w:color w:val="555555"/>
          <w:sz w:val="18"/>
        </w:rPr>
        <w:t xml:space="preserve">Historische Fassung: Stand 10.06.2019 bis 01.01.2022. Dies ist nicht die aktuelle Fassung.</w:t>
      </w:r>
    </w:p>
    <w:p>
      <w:r>
        <w:t xml:space="preserve">(1) Das Statistische Bundesamt darf für die Verwendung gegenüber den gesetzgebenden Körperschaften und für Zwecke der Planung, jedoch nicht für die Regelung von Einzelfällen, Tabellen mit statistischen Ergebnissen an die fachlich zuständigen obersten Bundes- und Landesbehörden übermitteln, auch soweit Tabellenfelder nur einen einzigen Fall ausweisen.</w:t>
      </w:r>
    </w:p>
    <w:p>
      <w:r>
        <w:t xml:space="preserve">(2) Das Statistische Bundesamt darf zur Berichterstattung der Bundesregierung über ihre Exportpolitik für konventionelle Rüstungsgüter die Angaben nach § 3 Nummer 2 zur Benennung der Ware an die fachlich zuständigen obersten Bundesbehörden übermitteln, soweit sie der Einordnung der Ware als ziviles Gut oder konventionelles Rüstungsgut dienen.</w:t>
      </w:r>
    </w:p>
    <w:p>
      <w:r>
        <w:rPr>
          <w:color w:val="555555"/>
          <w:sz w:val="17"/>
        </w:rPr>
        <w:t xml:space="preserve">Zitiervorschlag: § 11 AHStatGes</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https://recht.nulegal.eu/gesetze/AHStatGes/11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