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Die Außenhandelsstatistik ist vom Statistischen Bundesamt nach § 2 Nr. 2 des Gesetzes über die Statistik für Bundeszwecke zu erheben und aufzubereiten.</w:t>
      </w:r>
    </w:p>
    <w:p>
      <w:r>
        <w:t xml:space="preserve">(2) Das Statistische Bundesamt kann den Statistischen Ämtern in Hamburg, Bremen und Lübeck die für deren statistische Zwecke erforderlichen Unterlagen zur selbständigen Bearbeitung zur Verfügung stellen.</w:t>
      </w:r>
    </w:p>
    <w:p>
      <w:r>
        <w:rPr>
          <w:color w:val="555555"/>
          <w:sz w:val="17"/>
        </w:rPr>
        <w:t xml:space="preserve">Zitiervorschlag: § 10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