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AHStatGes</w:t>
      </w:r>
    </w:p>
    <w:p>
      <w:r>
        <w:rPr>
          <w:color w:val="555555"/>
          <w:sz w:val="18"/>
        </w:rPr>
        <w:t xml:space="preserve">Außenhandelsstatistikgesetz</w:t>
      </w:r>
    </w:p>
    <w:p>
      <w:r>
        <w:rPr>
          <w:color w:val="555555"/>
          <w:sz w:val="18"/>
        </w:rPr>
        <w:t xml:space="preserve">Historische Fassung: Stand 10.06.2019 bis 01.01.2022. Dies ist nicht die aktuelle Fassung.</w:t>
      </w:r>
    </w:p>
    <w:p>
      <w:r>
        <w:t xml:space="preserve">Über den grenzüberschreitenden Warenverkehr wird eine Bundesstatistik durchgeführt.</w:t>
      </w:r>
    </w:p>
    <w:p>
      <w:r>
        <w:rPr>
          <w:color w:val="555555"/>
          <w:sz w:val="17"/>
        </w:rPr>
        <w:t xml:space="preserve">Zitiervorschlag: § 1 AHStatGes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https://recht.nulegal.eu/gesetze/AHStatGes/1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