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AHStatG — Inhalt, Zweck</w:t>
      </w:r>
    </w:p>
    <w:p>
      <w:r>
        <w:rPr>
          <w:color w:val="555555"/>
          <w:sz w:val="18"/>
        </w:rPr>
        <w:t xml:space="preserve">Außenhandelsstatistikgesetz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Außenhandelsstatistik umfasst die Erhebungen</w:t>
      </w:r>
    </w:p>
    <w:p>
      <w:pPr>
        <w:ind w:left="420"/>
      </w:pPr>
      <w:r>
        <w:t xml:space="preserve">1. der Intrahandelsstatistik und</w:t>
      </w:r>
    </w:p>
    <w:p>
      <w:pPr>
        <w:ind w:left="420"/>
      </w:pPr>
      <w:r>
        <w:t xml:space="preserve">2. der Extrahandelsstatistik.</w:t>
      </w:r>
    </w:p>
    <w:p>
      <w:r>
        <w:t xml:space="preserve">(2) Die Außenhandelsstatistik wird durchgeführt für Zwecke</w:t>
      </w:r>
    </w:p>
    <w:p>
      <w:pPr>
        <w:ind w:left="420"/>
      </w:pPr>
      <w:r>
        <w:t xml:space="preserve">1. der Bereitstellung aktueller Daten über die Warenbewegungen der Bundesrepublik Deutschland mit anderen Ländern,</w:t>
      </w:r>
    </w:p>
    <w:p>
      <w:pPr>
        <w:ind w:left="420"/>
      </w:pPr>
      <w:r>
        <w:t xml:space="preserve">2. der Volkswirtschaftlichen Gesamtrechnungen und der Zahlungsbilanzstatistiken der Deutschen Bundesbank,</w:t>
      </w:r>
    </w:p>
    <w:p>
      <w:pPr>
        <w:ind w:left="420"/>
      </w:pPr>
      <w:r>
        <w:t xml:space="preserve">3. außenwirtschaftlicher Planungsentscheidungen und</w:t>
      </w:r>
    </w:p>
    <w:p>
      <w:pPr>
        <w:ind w:left="420"/>
      </w:pPr>
      <w:r>
        <w:t xml:space="preserve">4. der Erfüllung europa- und völkerrechtlicher Berichtspflichten der Bundesrepublik Deutschland.</w:t>
      </w:r>
    </w:p>
    <w:p>
      <w:r>
        <w:rPr>
          <w:color w:val="555555"/>
          <w:sz w:val="17"/>
        </w:rPr>
        <w:t xml:space="preserve">Zitiervorschlag: § 4 AHStatG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