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AHStatG — Erhebungsgebiet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Erhebungsgebiet für die Außenhandelsstatistik sind</w:t>
      </w:r>
    </w:p>
    <w:p>
      <w:pPr>
        <w:ind w:left="420"/>
      </w:pPr>
      <w:r>
        <w:t xml:space="preserve">1. das Staatsgebiet der Bundesrepublik Deutschland einschließlich der Insel Helgoland, jedoch ausschließlich der Gemeinde Büsingen, und</w:t>
      </w:r>
    </w:p>
    <w:p>
      <w:pPr>
        <w:ind w:left="420"/>
      </w:pPr>
      <w:r>
        <w:t xml:space="preserve">2. Gebiete auf hoher See, in denen die Bundesrepublik Deutschland über das alleinige Recht verfügt, den Meeresboden und seinen Untergrund wirtschaftlich auszubeuten.</w:t>
      </w:r>
    </w:p>
    <w:p>
      <w:r>
        <w:rPr>
          <w:color w:val="555555"/>
          <w:sz w:val="17"/>
        </w:rPr>
        <w:t xml:space="preserve">Zitiervorschlag: § 3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