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AHStatDV 2022 — Berichtigungen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Stellt der Auskunftspflichtige fest, dass Anmeldedaten bereits zum Zeitpunkt der Anmeldung fehlerhaft waren, und betrifft der Fehler das aktuelle oder das vorangegangene Kalenderjahr, so hat er nach § 9 Absatz 2 Nummer 3 des Außenhandelsstatistikgesetzes diese Anmeldungen in folgenden Fällen zu berichtigen:</w:t>
      </w:r>
    </w:p>
    <w:p>
      <w:pPr>
        <w:ind w:left="420"/>
      </w:pPr>
      <w:r>
        <w:t xml:space="preserve">1. Angaben zum Rechnungsbetrag in der Intrahandelsstatistik und zum Statistischen Wert müssen nur berichtigt werden, wenn sich der ursprünglich gemeldete Wert der Warenposition durch die Berichtigung um mehr als 5 000 Euro verändern würde;</w:t>
      </w:r>
    </w:p>
    <w:p>
      <w:pPr>
        <w:ind w:left="420"/>
      </w:pPr>
      <w:r>
        <w:t xml:space="preserve">2. Angaben zur Eigenmasse und der besonderen Maßeinheit müssen nur berichtigt werden, wenn sich die ursprünglich gemeldete Menge der Warenposition durch die Korrektur um mehr als 10 Prozent verändern würde;</w:t>
      </w:r>
    </w:p>
    <w:p>
      <w:pPr>
        <w:ind w:left="420"/>
      </w:pPr>
      <w:r>
        <w:t xml:space="preserve">3. Angaben zu anderen als den in den Nummern 1 und 2 genannten Merkmalen müssen berichtigt werden, wenn der Rechnungsbetrag oder der Statistische Wert der betreffenden Warenposition höher als 5 000 Euro ist; zu den berichtigungspflichtigen Tatbeständen zählen in diesem Zusammenhang auch die Stornierungen von fälschlicherweise statistisch erfassten, aber nicht durchgeführten Warenbewegungen.</w:t>
      </w:r>
    </w:p>
    <w:p>
      <w:r>
        <w:t xml:space="preserve">(2) Ist im Zeitpunkt der Anmeldung dem Grunde nach bekannt, dass sich die anmeldepflichtigen Angaben nachträglich ändern können, müssen diese Angaben im Zeitpunkt der Änderung nach § 9 Absatz 2 Nummer 3 des Außenhandelsstatistikgesetzes berichtigt werden.</w:t>
      </w:r>
    </w:p>
    <w:p>
      <w:r>
        <w:t xml:space="preserve">(3) In anderen als in den Absätzen 1 und 2 genannten Fällen ist die Berichtigung freiwillig.</w:t>
      </w:r>
    </w:p>
    <w:p>
      <w:r>
        <w:rPr>
          <w:color w:val="555555"/>
          <w:sz w:val="17"/>
        </w:rPr>
        <w:t xml:space="preserve">Zitiervorschlag: § 8 AHStatDV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https://recht.nulegal.eu/gesetze/AHStatDV%202022/8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