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AHStatDV 2022 — Inkrafttreten</w:t>
      </w:r>
    </w:p>
    <w:p>
      <w:r>
        <w:rPr>
          <w:color w:val="555555"/>
          <w:sz w:val="18"/>
        </w:rPr>
        <w:t xml:space="preserve">Außenhandelsstatistik-Durchführungsverordnung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Diese Verordnung tritt am 1. Januar 2022 in Kraft.</w:t>
      </w:r>
    </w:p>
    <w:p>
      <w:r>
        <w:rPr>
          <w:color w:val="555555"/>
          <w:sz w:val="17"/>
        </w:rPr>
        <w:t xml:space="preserve">Zitiervorschlag: § 34 AHStatDV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https://recht.nulegal.eu/gesetze/AHStatDV%202022/34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