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AHStatDV 2022 — Meeresprodukte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„Meeresprodukte“ im Sinne dieser Verordnung sind Fischereiprodukte, mineralische Stoffe, Bergungsgut und alle anderen Waren, die sich im Meer befunden haben und von Schiffen noch nicht angelandet wurden.</w:t>
      </w:r>
    </w:p>
    <w:p>
      <w:r>
        <w:t xml:space="preserve">(2) Ein Schiff gilt als dem Land angehörig, in dem die Person ansässig ist, die an dem Schiff das wirtschaftliche Eigentum nach § 20 Absatz 1 Nummer 4 innehat.</w:t>
      </w:r>
    </w:p>
    <w:p>
      <w:r>
        <w:t xml:space="preserve">(3) Bei Warenverkehren von Meeresprodukten werden erfasst:</w:t>
      </w:r>
    </w:p>
    <w:p>
      <w:pPr>
        <w:ind w:left="420"/>
      </w:pPr>
      <w:r>
        <w:t xml:space="preserve">1. als Import die Anlandung von Meeresprodukten in Häfen im Erhebungsgebiet,</w:t>
      </w:r>
    </w:p>
    <w:p>
      <w:pPr>
        <w:ind w:left="420"/>
      </w:pPr>
      <w:r>
        <w:t xml:space="preserve">2. als Export die Anlandung von Meeresprodukten in Häfen außerhalb des Erhebungsgebiets durch ein deutsches Schiff;</w:t>
      </w:r>
    </w:p>
    <w:p>
      <w:pPr>
        <w:ind w:left="420"/>
      </w:pPr>
      <w:r>
        <w:t xml:space="preserve">3. als Ursprungsland das Land, in dem die Person ansässig ist, die das wirtschaftliche Eigentum an dem Schiff hat, das die Ware erstmals an Bord nimmt,</w:t>
      </w:r>
    </w:p>
    <w:p>
      <w:pPr>
        <w:ind w:left="420"/>
      </w:pPr>
      <w:r>
        <w:t xml:space="preserve">4. als Bestimmungsland das Land, in dem die Meeresprodukte angelandet werden.</w:t>
      </w:r>
    </w:p>
    <w:p>
      <w:r>
        <w:t xml:space="preserve">(4) Die Bundesanstalt für Landwirtschaft und Ernährung übermittelt dem Statistischen Bundesamt alle Daten über Exporte von Fischereiprodukten nach Absatz 3, die von deutschen Schiffen in ausländischen Häfen angelandet werden.</w:t>
      </w:r>
    </w:p>
    <w:p>
      <w:r>
        <w:rPr>
          <w:color w:val="555555"/>
          <w:sz w:val="17"/>
        </w:rPr>
        <w:t xml:space="preserve">Zitiervorschlag: § 23 AHStatDV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https://recht.nulegal.eu/gesetze/AHStatDV%202022/23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